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412"/>
        <w:gridCol w:w="3290"/>
        <w:gridCol w:w="1748"/>
        <w:gridCol w:w="1388"/>
        <w:gridCol w:w="1169"/>
        <w:gridCol w:w="1485"/>
        <w:gridCol w:w="1169"/>
        <w:gridCol w:w="1169"/>
        <w:gridCol w:w="1369"/>
      </w:tblGrid>
      <w:tr w:rsidR="003721B5" w:rsidRPr="00FE6AEC" w:rsidTr="00A34CBE">
        <w:trPr>
          <w:trHeight w:val="255"/>
          <w:jc w:val="right"/>
        </w:trPr>
        <w:tc>
          <w:tcPr>
            <w:tcW w:w="1389" w:type="dxa"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AU"/>
              </w:rPr>
            </w:pPr>
            <w:bookmarkStart w:id="0" w:name="_GoBack"/>
            <w:bookmarkEnd w:id="0"/>
          </w:p>
        </w:tc>
        <w:tc>
          <w:tcPr>
            <w:tcW w:w="14199" w:type="dxa"/>
            <w:gridSpan w:val="9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color w:val="000000"/>
                <w:lang w:eastAsia="en-AU"/>
              </w:rPr>
              <w:t>GIFTED AND TALENTED CHILDREN'S ASSOCIATION OF SOUTH AUSTRALIA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1389" w:type="dxa"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</w:p>
        </w:tc>
        <w:tc>
          <w:tcPr>
            <w:tcW w:w="14199" w:type="dxa"/>
            <w:gridSpan w:val="9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Income and Expenses - comparison with previous years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2016-2017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2015-2016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2014-2015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2013-2014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2012-2013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2011-2012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2010-2011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Opening cashbook balance</w:t>
            </w:r>
          </w:p>
        </w:tc>
        <w:tc>
          <w:tcPr>
            <w:tcW w:w="3290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 </w:t>
            </w:r>
          </w:p>
        </w:tc>
        <w:tc>
          <w:tcPr>
            <w:tcW w:w="1748" w:type="dxa"/>
            <w:shd w:val="clear" w:color="000000" w:fill="92D050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55,549.60</w:t>
            </w:r>
          </w:p>
        </w:tc>
        <w:tc>
          <w:tcPr>
            <w:tcW w:w="1388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49,077.93</w:t>
            </w:r>
          </w:p>
        </w:tc>
        <w:tc>
          <w:tcPr>
            <w:tcW w:w="11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48,436.10</w:t>
            </w:r>
          </w:p>
        </w:tc>
        <w:tc>
          <w:tcPr>
            <w:tcW w:w="1485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39,176.60</w:t>
            </w:r>
          </w:p>
        </w:tc>
        <w:tc>
          <w:tcPr>
            <w:tcW w:w="11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44,105.00</w:t>
            </w:r>
          </w:p>
        </w:tc>
        <w:tc>
          <w:tcPr>
            <w:tcW w:w="11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50,037.00</w:t>
            </w:r>
          </w:p>
        </w:tc>
        <w:tc>
          <w:tcPr>
            <w:tcW w:w="13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49,492.00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INCOME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AAEGT journal subs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500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640.00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480.00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640.00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225.00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General grants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3,000.00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 w:val="restart"/>
            <w:shd w:val="clear" w:color="auto" w:fill="auto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Membership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total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3,330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4,325.00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4,240.00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4,980.00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4,005.00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3,867.00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3,721.00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concession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300</w:t>
            </w:r>
            <w:r w:rsidR="00A34CBE">
              <w:rPr>
                <w:rFonts w:eastAsia="Times New Roman" w:cstheme="minorHAnsi"/>
                <w:color w:val="000000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385.00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120.00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235.00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country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75</w:t>
            </w:r>
            <w:r w:rsidR="00A34CBE">
              <w:rPr>
                <w:rFonts w:eastAsia="Times New Roman" w:cstheme="minorHAnsi"/>
                <w:color w:val="000000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20.00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75.00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 xml:space="preserve">family 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1,355</w:t>
            </w:r>
            <w:r w:rsidR="00A34CBE">
              <w:rPr>
                <w:rFonts w:eastAsia="Times New Roman" w:cstheme="minorHAnsi"/>
                <w:color w:val="000000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1,400.00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2,450.00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1,550.00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individual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430</w:t>
            </w:r>
            <w:r w:rsidR="00A34CBE">
              <w:rPr>
                <w:rFonts w:eastAsia="Times New Roman" w:cstheme="minorHAnsi"/>
                <w:color w:val="000000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380.00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505.00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850.00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school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1,170</w:t>
            </w:r>
            <w:r w:rsidR="00A34CBE">
              <w:rPr>
                <w:rFonts w:eastAsia="Times New Roman" w:cstheme="minorHAnsi"/>
                <w:color w:val="000000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2,140.00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1,090.00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2,230.00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 w:val="restart"/>
            <w:shd w:val="clear" w:color="auto" w:fill="auto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Workshops etc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PD income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555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435.00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5,595.00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2,390.00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1,470.00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1,020.00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Saturday club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11,045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4,338.00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2,735.00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2,240.00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1,401.00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4,455.00</w:t>
            </w:r>
          </w:p>
        </w:tc>
      </w:tr>
      <w:tr w:rsidR="003721B5" w:rsidRPr="00FE6AEC" w:rsidTr="00A34CBE">
        <w:trPr>
          <w:trHeight w:val="174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youth workshops-grants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10,500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10,120.00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9,900.00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8,800.00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8,800.00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6,600.00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11,600.00</w:t>
            </w:r>
          </w:p>
        </w:tc>
      </w:tr>
      <w:tr w:rsidR="003721B5" w:rsidRPr="00FE6AEC" w:rsidTr="00A34CBE">
        <w:trPr>
          <w:trHeight w:val="207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youth workshops- fees and other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125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856CBF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16,030.55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11,991.95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15,456.20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11,600.00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12,086.00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13,204.00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parent ed sessions</w:t>
            </w: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1,110.00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720.00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 xml:space="preserve">        1,013.00 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Sales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75.00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93.00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362.00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Donations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20</w:t>
            </w:r>
            <w:r w:rsidR="00A34CBE">
              <w:rPr>
                <w:rFonts w:eastAsia="Times New Roman" w:cstheme="minorHAnsi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Interest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1,044.12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1,534.23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1,460.88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2,089.01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2,028.00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2,270.00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1,636.00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856CBF">
              <w:rPr>
                <w:rFonts w:eastAsia="Times New Roman" w:cstheme="minorHAnsi"/>
                <w:color w:val="000000"/>
                <w:lang w:eastAsia="en-AU"/>
              </w:rPr>
              <w:t>Other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365.61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220.71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729.90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381.00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Total income</w:t>
            </w:r>
          </w:p>
        </w:tc>
        <w:tc>
          <w:tcPr>
            <w:tcW w:w="3290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 </w:t>
            </w:r>
          </w:p>
        </w:tc>
        <w:tc>
          <w:tcPr>
            <w:tcW w:w="1748" w:type="dxa"/>
            <w:shd w:val="clear" w:color="000000" w:fill="D9D9D9"/>
          </w:tcPr>
          <w:p w:rsidR="003721B5" w:rsidRPr="00856CBF" w:rsidRDefault="00F16C74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27</w:t>
            </w:r>
            <w:r w:rsidR="003940AA">
              <w:rPr>
                <w:rFonts w:eastAsia="Times New Roman" w:cstheme="minorHAnsi"/>
                <w:b/>
                <w:bCs/>
                <w:lang w:eastAsia="en-AU"/>
              </w:rPr>
              <w:t>,</w:t>
            </w: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484.73</w:t>
            </w:r>
          </w:p>
        </w:tc>
        <w:tc>
          <w:tcPr>
            <w:tcW w:w="1388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38,753.49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37,852.73</w:t>
            </w:r>
          </w:p>
        </w:tc>
        <w:tc>
          <w:tcPr>
            <w:tcW w:w="1485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40,671.21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28,203.00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27,387.00</w:t>
            </w:r>
          </w:p>
        </w:tc>
        <w:tc>
          <w:tcPr>
            <w:tcW w:w="13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35,399.00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EXPENSES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</w:tr>
      <w:tr w:rsidR="00F16C74" w:rsidRPr="00FE6AEC" w:rsidTr="00A34CBE">
        <w:trPr>
          <w:trHeight w:val="274"/>
          <w:jc w:val="right"/>
        </w:trPr>
        <w:tc>
          <w:tcPr>
            <w:tcW w:w="2801" w:type="dxa"/>
            <w:gridSpan w:val="2"/>
            <w:vMerge w:val="restart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Administration</w:t>
            </w:r>
          </w:p>
        </w:tc>
        <w:tc>
          <w:tcPr>
            <w:tcW w:w="3290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postage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129.00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126.00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133.80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266.40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99.00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159.00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86.00</w:t>
            </w:r>
          </w:p>
        </w:tc>
      </w:tr>
      <w:tr w:rsidR="00F16C74" w:rsidRPr="00FE6AEC" w:rsidTr="00A34CBE">
        <w:trPr>
          <w:trHeight w:val="238"/>
          <w:jc w:val="right"/>
        </w:trPr>
        <w:tc>
          <w:tcPr>
            <w:tcW w:w="2801" w:type="dxa"/>
            <w:gridSpan w:val="2"/>
            <w:vMerge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telephone</w:t>
            </w:r>
          </w:p>
        </w:tc>
        <w:tc>
          <w:tcPr>
            <w:tcW w:w="1748" w:type="dxa"/>
          </w:tcPr>
          <w:p w:rsidR="00F16C74" w:rsidRPr="00856CBF" w:rsidRDefault="00856CBF" w:rsidP="00856CBF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</w:t>
            </w:r>
            <w:r w:rsidR="00F16C74" w:rsidRPr="00856CBF">
              <w:rPr>
                <w:rFonts w:cstheme="minorHAnsi"/>
              </w:rPr>
              <w:t>658.51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726.45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500.49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513.08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1,507.00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1,427.00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781.00</w:t>
            </w:r>
          </w:p>
        </w:tc>
      </w:tr>
      <w:tr w:rsidR="00F16C74" w:rsidRPr="00FE6AEC" w:rsidTr="00A34CBE">
        <w:trPr>
          <w:trHeight w:val="330"/>
          <w:jc w:val="right"/>
        </w:trPr>
        <w:tc>
          <w:tcPr>
            <w:tcW w:w="2801" w:type="dxa"/>
            <w:gridSpan w:val="2"/>
            <w:vMerge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printing and stationery</w:t>
            </w:r>
          </w:p>
        </w:tc>
        <w:tc>
          <w:tcPr>
            <w:tcW w:w="1748" w:type="dxa"/>
          </w:tcPr>
          <w:p w:rsidR="00F16C74" w:rsidRPr="00856CBF" w:rsidRDefault="00856CBF" w:rsidP="00856CBF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</w:t>
            </w:r>
            <w:r w:rsidR="00F16C74"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176.69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6.25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58.24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512.00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240.00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263.00</w:t>
            </w:r>
          </w:p>
        </w:tc>
      </w:tr>
      <w:tr w:rsidR="00F16C74" w:rsidRPr="00FE6AEC" w:rsidTr="00A34CBE">
        <w:trPr>
          <w:trHeight w:val="146"/>
          <w:jc w:val="right"/>
        </w:trPr>
        <w:tc>
          <w:tcPr>
            <w:tcW w:w="2801" w:type="dxa"/>
            <w:gridSpan w:val="2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Accounting and auditors fee</w:t>
            </w:r>
          </w:p>
        </w:tc>
        <w:tc>
          <w:tcPr>
            <w:tcW w:w="3290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856CBF" w:rsidP="00856CBF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</w:t>
            </w:r>
            <w:r w:rsidR="00F16C74"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500.00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660.00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660.00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660.00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660.00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660.00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Advertising</w:t>
            </w:r>
          </w:p>
        </w:tc>
        <w:tc>
          <w:tcPr>
            <w:tcW w:w="3290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856CBF" w:rsidP="00856CBF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</w:t>
            </w:r>
            <w:r w:rsidR="00F16C74" w:rsidRPr="00856CBF">
              <w:rPr>
                <w:rFonts w:cstheme="minorHAnsi"/>
              </w:rPr>
              <w:t>65.99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605.00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107.00</w:t>
            </w:r>
          </w:p>
        </w:tc>
      </w:tr>
      <w:tr w:rsidR="00F16C74" w:rsidRPr="00FE6AEC" w:rsidTr="00A34CBE">
        <w:trPr>
          <w:trHeight w:val="231"/>
          <w:jc w:val="right"/>
        </w:trPr>
        <w:tc>
          <w:tcPr>
            <w:tcW w:w="2801" w:type="dxa"/>
            <w:gridSpan w:val="2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IT expenses</w:t>
            </w:r>
          </w:p>
        </w:tc>
        <w:tc>
          <w:tcPr>
            <w:tcW w:w="3290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856CBF" w:rsidP="00856CBF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</w:t>
            </w:r>
            <w:r w:rsidR="00F16C74" w:rsidRPr="00856CBF">
              <w:rPr>
                <w:rFonts w:cstheme="minorHAnsi"/>
              </w:rPr>
              <w:t>200.00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249.00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200.00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449.00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1,000.00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200.00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lastRenderedPageBreak/>
              <w:t>Insurance</w:t>
            </w:r>
          </w:p>
        </w:tc>
        <w:tc>
          <w:tcPr>
            <w:tcW w:w="3290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1,031.97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1,031.97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1,130.40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365.00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199.00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222.00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190.00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Bank charges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21.00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575.00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362.00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483.00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Resource centre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Conference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 w:val="restart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AAEGT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affiliation fee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250.00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96.00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192.00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219.00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journal subs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640.00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300.00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480.00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391.00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582.00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Memberships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170.20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168.50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166.00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161.59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158.00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 w:val="restart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Employee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salary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16,800.00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15,400.00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16,788.00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15,750.01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13,020.00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11,656.00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10,912.00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super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1,724.44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1,562.75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1,086.51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1,325.00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1,275.00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1,232.00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PAYG tax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2,721.00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2,512.00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2,392.00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 w:val="restart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Workshops etc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PD expenses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208.67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2,523.84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68.64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2,129.00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Saturday club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6,891.68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1,208.22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1,462.52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777.85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248.00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900.00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4,695.00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youth workshops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10,335.82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9,356.82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9,231.17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9,281.00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12,096.00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11,902.00</w:t>
            </w:r>
          </w:p>
        </w:tc>
      </w:tr>
      <w:tr w:rsidR="00F16C74" w:rsidRPr="00FE6AEC" w:rsidTr="00A34CBE">
        <w:trPr>
          <w:trHeight w:val="255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parent ed sessions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153.96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145.11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438.53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F16C74" w:rsidRPr="00FE6AEC" w:rsidTr="00A34CBE">
        <w:trPr>
          <w:trHeight w:val="227"/>
          <w:jc w:val="right"/>
        </w:trPr>
        <w:tc>
          <w:tcPr>
            <w:tcW w:w="2801" w:type="dxa"/>
            <w:gridSpan w:val="2"/>
            <w:vMerge/>
            <w:vAlign w:val="center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family sessions</w:t>
            </w: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0.00</w:t>
            </w:r>
          </w:p>
        </w:tc>
        <w:tc>
          <w:tcPr>
            <w:tcW w:w="1388" w:type="dxa"/>
            <w:shd w:val="clear" w:color="auto" w:fill="auto"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329.72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46.37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</w:tr>
      <w:tr w:rsidR="00F16C74" w:rsidRPr="00FE6AEC" w:rsidTr="00A34CBE">
        <w:trPr>
          <w:trHeight w:val="180"/>
          <w:jc w:val="right"/>
        </w:trPr>
        <w:tc>
          <w:tcPr>
            <w:tcW w:w="2801" w:type="dxa"/>
            <w:gridSpan w:val="2"/>
            <w:shd w:val="clear" w:color="auto" w:fill="auto"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Other expenses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F16C74" w:rsidRPr="00856CBF" w:rsidRDefault="00F16C74" w:rsidP="00F16C74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F16C74" w:rsidRPr="00856CBF" w:rsidRDefault="00F16C74" w:rsidP="00856CBF">
            <w:pPr>
              <w:jc w:val="right"/>
              <w:rPr>
                <w:rFonts w:cstheme="minorHAnsi"/>
              </w:rPr>
            </w:pPr>
            <w:r w:rsidRPr="00856CBF">
              <w:rPr>
                <w:rFonts w:cstheme="minorHAnsi"/>
              </w:rPr>
              <w:t>10,115.00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176.10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1,753.20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819.32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283.00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15.00</w:t>
            </w:r>
          </w:p>
        </w:tc>
        <w:tc>
          <w:tcPr>
            <w:tcW w:w="1369" w:type="dxa"/>
            <w:shd w:val="clear" w:color="auto" w:fill="auto"/>
            <w:noWrap/>
            <w:hideMark/>
          </w:tcPr>
          <w:p w:rsidR="00F16C74" w:rsidRPr="00856CBF" w:rsidRDefault="00F16C74" w:rsidP="00F16C74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179.00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Total expenses</w:t>
            </w:r>
          </w:p>
        </w:tc>
        <w:tc>
          <w:tcPr>
            <w:tcW w:w="3290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 </w:t>
            </w:r>
          </w:p>
        </w:tc>
        <w:tc>
          <w:tcPr>
            <w:tcW w:w="1748" w:type="dxa"/>
            <w:shd w:val="clear" w:color="000000" w:fill="D9D9D9"/>
          </w:tcPr>
          <w:p w:rsidR="003721B5" w:rsidRPr="00856CBF" w:rsidRDefault="00856CBF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36,952.35</w:t>
            </w:r>
          </w:p>
        </w:tc>
        <w:tc>
          <w:tcPr>
            <w:tcW w:w="1388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32,281.82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37,210.90</w:t>
            </w:r>
          </w:p>
        </w:tc>
        <w:tc>
          <w:tcPr>
            <w:tcW w:w="1485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31,411.71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33,108.00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33,319.00</w:t>
            </w:r>
          </w:p>
        </w:tc>
        <w:tc>
          <w:tcPr>
            <w:tcW w:w="13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34,854.00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Cashbook balance</w:t>
            </w:r>
          </w:p>
        </w:tc>
        <w:tc>
          <w:tcPr>
            <w:tcW w:w="3290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                                               **</w:t>
            </w:r>
          </w:p>
        </w:tc>
        <w:tc>
          <w:tcPr>
            <w:tcW w:w="1748" w:type="dxa"/>
            <w:shd w:val="clear" w:color="000000" w:fill="D9D9D9"/>
          </w:tcPr>
          <w:p w:rsidR="003721B5" w:rsidRPr="00856CBF" w:rsidRDefault="00891796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46,081.98</w:t>
            </w:r>
          </w:p>
        </w:tc>
        <w:tc>
          <w:tcPr>
            <w:tcW w:w="1388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55,549.60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49,077.93</w:t>
            </w:r>
          </w:p>
        </w:tc>
        <w:tc>
          <w:tcPr>
            <w:tcW w:w="1485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48,436.10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39,200.00</w:t>
            </w:r>
          </w:p>
        </w:tc>
        <w:tc>
          <w:tcPr>
            <w:tcW w:w="11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44,105.00</w:t>
            </w:r>
          </w:p>
        </w:tc>
        <w:tc>
          <w:tcPr>
            <w:tcW w:w="1369" w:type="dxa"/>
            <w:shd w:val="clear" w:color="000000" w:fill="D9D9D9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50,037.00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Profit/loss for the year</w:t>
            </w:r>
          </w:p>
        </w:tc>
        <w:tc>
          <w:tcPr>
            <w:tcW w:w="3290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 </w:t>
            </w:r>
          </w:p>
        </w:tc>
        <w:tc>
          <w:tcPr>
            <w:tcW w:w="1748" w:type="dxa"/>
            <w:shd w:val="clear" w:color="000000" w:fill="92D050"/>
          </w:tcPr>
          <w:p w:rsidR="003721B5" w:rsidRPr="00856CBF" w:rsidRDefault="00891796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-9,467.62</w:t>
            </w:r>
          </w:p>
        </w:tc>
        <w:tc>
          <w:tcPr>
            <w:tcW w:w="1388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6,471.67</w:t>
            </w:r>
          </w:p>
        </w:tc>
        <w:tc>
          <w:tcPr>
            <w:tcW w:w="11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641.83</w:t>
            </w:r>
          </w:p>
        </w:tc>
        <w:tc>
          <w:tcPr>
            <w:tcW w:w="1485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9,259.50</w:t>
            </w:r>
          </w:p>
        </w:tc>
        <w:tc>
          <w:tcPr>
            <w:tcW w:w="11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-4,905.00</w:t>
            </w:r>
          </w:p>
        </w:tc>
        <w:tc>
          <w:tcPr>
            <w:tcW w:w="11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-5,932.00</w:t>
            </w:r>
          </w:p>
        </w:tc>
        <w:tc>
          <w:tcPr>
            <w:tcW w:w="1369" w:type="dxa"/>
            <w:shd w:val="clear" w:color="000000" w:fill="92D050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545.00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A34CBE" w:rsidRDefault="00A34CBE" w:rsidP="00FE6AEC">
            <w:pPr>
              <w:spacing w:after="0" w:line="240" w:lineRule="auto"/>
              <w:rPr>
                <w:rFonts w:eastAsia="Times New Roman" w:cstheme="minorHAnsi"/>
                <w:b/>
                <w:lang w:eastAsia="en-AU"/>
              </w:rPr>
            </w:pPr>
            <w:r w:rsidRPr="00A34CBE">
              <w:rPr>
                <w:rFonts w:eastAsia="Times New Roman" w:cstheme="minorHAnsi"/>
                <w:b/>
                <w:lang w:eastAsia="en-AU"/>
              </w:rPr>
              <w:t>Activities income</w:t>
            </w: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748" w:type="dxa"/>
          </w:tcPr>
          <w:p w:rsidR="003721B5" w:rsidRPr="00856CBF" w:rsidRDefault="00A34CBE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 xml:space="preserve">      2016-</w:t>
            </w:r>
            <w:r w:rsidR="00891796">
              <w:rPr>
                <w:rFonts w:eastAsia="Times New Roman" w:cstheme="minorHAnsi"/>
                <w:b/>
                <w:bCs/>
                <w:lang w:eastAsia="en-AU"/>
              </w:rPr>
              <w:t>17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A34CBE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 xml:space="preserve">   2015-</w:t>
            </w:r>
            <w:r w:rsidR="003721B5" w:rsidRPr="00856CBF">
              <w:rPr>
                <w:rFonts w:eastAsia="Times New Roman" w:cstheme="minorHAnsi"/>
                <w:b/>
                <w:bCs/>
                <w:lang w:eastAsia="en-AU"/>
              </w:rPr>
              <w:t xml:space="preserve">16 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A34CBE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2014-</w:t>
            </w:r>
            <w:r w:rsidR="003721B5" w:rsidRPr="00856CBF">
              <w:rPr>
                <w:rFonts w:eastAsia="Times New Roman" w:cstheme="minorHAnsi"/>
                <w:b/>
                <w:bCs/>
                <w:lang w:eastAsia="en-AU"/>
              </w:rPr>
              <w:t>15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A34CBE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2013-</w:t>
            </w:r>
            <w:r w:rsidR="003721B5" w:rsidRPr="00856CBF">
              <w:rPr>
                <w:rFonts w:eastAsia="Times New Roman" w:cstheme="minorHAnsi"/>
                <w:b/>
                <w:bCs/>
                <w:lang w:eastAsia="en-AU"/>
              </w:rPr>
              <w:t>14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A34CBE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2012-</w:t>
            </w:r>
            <w:r w:rsidR="003721B5" w:rsidRPr="00856CBF">
              <w:rPr>
                <w:rFonts w:eastAsia="Times New Roman" w:cstheme="minorHAnsi"/>
                <w:b/>
                <w:bCs/>
                <w:lang w:eastAsia="en-AU"/>
              </w:rPr>
              <w:t>13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A34CBE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2011-</w:t>
            </w:r>
            <w:r w:rsidR="003721B5" w:rsidRPr="00856CBF">
              <w:rPr>
                <w:rFonts w:eastAsia="Times New Roman" w:cstheme="minorHAnsi"/>
                <w:b/>
                <w:bCs/>
                <w:lang w:eastAsia="en-AU"/>
              </w:rPr>
              <w:t>12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A34CBE" w:rsidP="00FE6A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2010-</w:t>
            </w:r>
            <w:r w:rsidR="003721B5" w:rsidRPr="00856CBF">
              <w:rPr>
                <w:rFonts w:eastAsia="Times New Roman" w:cstheme="minorHAnsi"/>
                <w:b/>
                <w:bCs/>
                <w:lang w:eastAsia="en-AU"/>
              </w:rPr>
              <w:t>11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net PD</w:t>
            </w:r>
          </w:p>
        </w:tc>
        <w:tc>
          <w:tcPr>
            <w:tcW w:w="1748" w:type="dxa"/>
          </w:tcPr>
          <w:p w:rsidR="003721B5" w:rsidRPr="00856CBF" w:rsidRDefault="00891796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555.00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226.33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3,071.16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2,321.36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-659.00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1,020.00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net Saturday club</w:t>
            </w:r>
          </w:p>
        </w:tc>
        <w:tc>
          <w:tcPr>
            <w:tcW w:w="1748" w:type="dxa"/>
          </w:tcPr>
          <w:p w:rsidR="003721B5" w:rsidRPr="00856CBF" w:rsidRDefault="00891796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4,153.32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3,129.78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1,272.48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1,462.15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-248.00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501.00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-240.00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net YW</w:t>
            </w:r>
          </w:p>
        </w:tc>
        <w:tc>
          <w:tcPr>
            <w:tcW w:w="1748" w:type="dxa"/>
          </w:tcPr>
          <w:p w:rsidR="003721B5" w:rsidRPr="00891796" w:rsidRDefault="00891796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en-AU"/>
              </w:rPr>
            </w:pPr>
            <w:r w:rsidRPr="003940AA">
              <w:rPr>
                <w:rFonts w:eastAsia="Times New Roman" w:cstheme="minorHAnsi"/>
                <w:b/>
                <w:color w:val="0070C0"/>
                <w:lang w:eastAsia="en-AU"/>
              </w:rPr>
              <w:t>10,625</w:t>
            </w:r>
            <w:r w:rsidR="003940AA">
              <w:rPr>
                <w:rFonts w:eastAsia="Times New Roman" w:cstheme="minorHAnsi"/>
                <w:b/>
                <w:color w:val="0070C0"/>
                <w:lang w:eastAsia="en-AU"/>
              </w:rPr>
              <w:t>.00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15,684.73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12,535.13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15,025.03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11,119.00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6,590.00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12,902.00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net parent workshops</w:t>
            </w:r>
          </w:p>
        </w:tc>
        <w:tc>
          <w:tcPr>
            <w:tcW w:w="1748" w:type="dxa"/>
          </w:tcPr>
          <w:p w:rsidR="003721B5" w:rsidRPr="00856CBF" w:rsidRDefault="00891796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956.04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574.89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574.47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  <w:r w:rsidRPr="00856CBF">
              <w:rPr>
                <w:rFonts w:eastAsia="Times New Roman" w:cstheme="minorHAnsi"/>
                <w:lang w:eastAsia="en-AU"/>
              </w:rPr>
              <w:t>0.00</w:t>
            </w:r>
          </w:p>
        </w:tc>
      </w:tr>
      <w:tr w:rsidR="003721B5" w:rsidRPr="00FE6AEC" w:rsidTr="00A34CBE">
        <w:trPr>
          <w:trHeight w:val="255"/>
          <w:jc w:val="right"/>
        </w:trPr>
        <w:tc>
          <w:tcPr>
            <w:tcW w:w="2801" w:type="dxa"/>
            <w:gridSpan w:val="2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TOTAL</w:t>
            </w:r>
          </w:p>
        </w:tc>
        <w:tc>
          <w:tcPr>
            <w:tcW w:w="1748" w:type="dxa"/>
          </w:tcPr>
          <w:p w:rsidR="003721B5" w:rsidRPr="00856CBF" w:rsidRDefault="00891796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>
              <w:rPr>
                <w:rFonts w:eastAsia="Times New Roman" w:cstheme="minorHAnsi"/>
                <w:b/>
                <w:bCs/>
                <w:lang w:eastAsia="en-AU"/>
              </w:rPr>
              <w:t>15</w:t>
            </w:r>
            <w:r w:rsidR="003940AA">
              <w:rPr>
                <w:rFonts w:eastAsia="Times New Roman" w:cstheme="minorHAnsi"/>
                <w:b/>
                <w:bCs/>
                <w:lang w:eastAsia="en-AU"/>
              </w:rPr>
              <w:t>,</w:t>
            </w:r>
            <w:r>
              <w:rPr>
                <w:rFonts w:eastAsia="Times New Roman" w:cstheme="minorHAnsi"/>
                <w:b/>
                <w:bCs/>
                <w:lang w:eastAsia="en-AU"/>
              </w:rPr>
              <w:t>333.32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19,996.88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17,453.66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19,383.01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10,212.00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8,111.00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721B5" w:rsidRPr="00856CBF" w:rsidRDefault="003721B5" w:rsidP="00FE6AE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en-AU"/>
              </w:rPr>
            </w:pPr>
            <w:r w:rsidRPr="00856CBF">
              <w:rPr>
                <w:rFonts w:eastAsia="Times New Roman" w:cstheme="minorHAnsi"/>
                <w:b/>
                <w:bCs/>
                <w:lang w:eastAsia="en-AU"/>
              </w:rPr>
              <w:t>12,662.00</w:t>
            </w:r>
          </w:p>
        </w:tc>
      </w:tr>
    </w:tbl>
    <w:p w:rsidR="00353889" w:rsidRDefault="00353889"/>
    <w:p w:rsidR="003940AA" w:rsidRDefault="003940AA">
      <w:r>
        <w:lastRenderedPageBreak/>
        <w:t>Other expenses included the loan of $10,000 to Dara Village School in Feb 2017 from term deposit 2.</w:t>
      </w:r>
    </w:p>
    <w:p w:rsidR="003940AA" w:rsidRDefault="003940AA">
      <w:r>
        <w:t>Other income includes several payments that have not been identified for a particular heading.</w:t>
      </w:r>
    </w:p>
    <w:p w:rsidR="003940AA" w:rsidRDefault="003940AA">
      <w:r>
        <w:t>We received the YWS grant of $10,500 late June 2017</w:t>
      </w:r>
      <w:r w:rsidR="00A34CBE">
        <w:t xml:space="preserve"> for the 2017 YWS</w:t>
      </w:r>
      <w:r>
        <w:t>. No costs had been offset aga</w:t>
      </w:r>
      <w:r w:rsidR="00B26B58">
        <w:t>inst this amount for this FY. Very little</w:t>
      </w:r>
      <w:r>
        <w:t xml:space="preserve"> other YWS income was received this FY</w:t>
      </w:r>
      <w:r w:rsidR="00A34CBE">
        <w:t xml:space="preserve"> as there were no YWS in 2016</w:t>
      </w:r>
      <w:r>
        <w:t xml:space="preserve">.  </w:t>
      </w:r>
    </w:p>
    <w:p w:rsidR="003940AA" w:rsidRDefault="003940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3402"/>
      </w:tblGrid>
      <w:tr w:rsidR="00CA3ECD" w:rsidTr="003940AA">
        <w:tc>
          <w:tcPr>
            <w:tcW w:w="4390" w:type="dxa"/>
          </w:tcPr>
          <w:p w:rsidR="00CA3ECD" w:rsidRDefault="00CA3ECD">
            <w:r>
              <w:t xml:space="preserve">Account type </w:t>
            </w:r>
          </w:p>
        </w:tc>
        <w:tc>
          <w:tcPr>
            <w:tcW w:w="2835" w:type="dxa"/>
          </w:tcPr>
          <w:p w:rsidR="00CA3ECD" w:rsidRDefault="00CA3ECD">
            <w:r>
              <w:t>Amount at 30/6/2017</w:t>
            </w:r>
          </w:p>
        </w:tc>
        <w:tc>
          <w:tcPr>
            <w:tcW w:w="3402" w:type="dxa"/>
          </w:tcPr>
          <w:p w:rsidR="00CA3ECD" w:rsidRDefault="00CA3ECD">
            <w:r>
              <w:t>Interest earned 2016/17 FY</w:t>
            </w:r>
            <w:r w:rsidR="003940AA">
              <w:t xml:space="preserve"> (interest accrues in their accounts)</w:t>
            </w:r>
          </w:p>
        </w:tc>
      </w:tr>
      <w:tr w:rsidR="00CA3ECD" w:rsidTr="003940AA">
        <w:tc>
          <w:tcPr>
            <w:tcW w:w="4390" w:type="dxa"/>
          </w:tcPr>
          <w:p w:rsidR="00CA3ECD" w:rsidRDefault="00CA3ECD">
            <w:r>
              <w:t>Savings account</w:t>
            </w:r>
          </w:p>
        </w:tc>
        <w:tc>
          <w:tcPr>
            <w:tcW w:w="2835" w:type="dxa"/>
          </w:tcPr>
          <w:p w:rsidR="00CA3ECD" w:rsidRDefault="00CA3ECD">
            <w:r>
              <w:t>1,080.14</w:t>
            </w:r>
          </w:p>
        </w:tc>
        <w:tc>
          <w:tcPr>
            <w:tcW w:w="3402" w:type="dxa"/>
          </w:tcPr>
          <w:p w:rsidR="00CA3ECD" w:rsidRDefault="00CA3ECD">
            <w:r>
              <w:t>20.21</w:t>
            </w:r>
          </w:p>
        </w:tc>
      </w:tr>
      <w:tr w:rsidR="00CA3ECD" w:rsidTr="003940AA">
        <w:tc>
          <w:tcPr>
            <w:tcW w:w="4390" w:type="dxa"/>
          </w:tcPr>
          <w:p w:rsidR="00CA3ECD" w:rsidRDefault="00CA3ECD">
            <w:r>
              <w:t>Term deposit 1 (matured 5/8/16)</w:t>
            </w:r>
          </w:p>
        </w:tc>
        <w:tc>
          <w:tcPr>
            <w:tcW w:w="2835" w:type="dxa"/>
          </w:tcPr>
          <w:p w:rsidR="00CA3ECD" w:rsidRDefault="00CA3ECD">
            <w:r>
              <w:t>16,198.10</w:t>
            </w:r>
          </w:p>
        </w:tc>
        <w:tc>
          <w:tcPr>
            <w:tcW w:w="3402" w:type="dxa"/>
          </w:tcPr>
          <w:p w:rsidR="00CA3ECD" w:rsidRDefault="00CA3ECD">
            <w:r>
              <w:t>380.66</w:t>
            </w:r>
          </w:p>
        </w:tc>
      </w:tr>
      <w:tr w:rsidR="00CA3ECD" w:rsidTr="003940AA">
        <w:tc>
          <w:tcPr>
            <w:tcW w:w="4390" w:type="dxa"/>
          </w:tcPr>
          <w:p w:rsidR="00CA3ECD" w:rsidRDefault="00CA3ECD">
            <w:r>
              <w:t>Term deposit 2 (matured Feb 2017)</w:t>
            </w:r>
          </w:p>
        </w:tc>
        <w:tc>
          <w:tcPr>
            <w:tcW w:w="2835" w:type="dxa"/>
          </w:tcPr>
          <w:p w:rsidR="00CA3ECD" w:rsidRDefault="00CA3ECD">
            <w:r>
              <w:t>16,728.68</w:t>
            </w:r>
          </w:p>
        </w:tc>
        <w:tc>
          <w:tcPr>
            <w:tcW w:w="3402" w:type="dxa"/>
          </w:tcPr>
          <w:p w:rsidR="00CA3ECD" w:rsidRDefault="00CA3ECD">
            <w:r>
              <w:t xml:space="preserve">643.25 </w:t>
            </w:r>
          </w:p>
        </w:tc>
      </w:tr>
      <w:tr w:rsidR="00CA3ECD" w:rsidTr="003940AA">
        <w:tc>
          <w:tcPr>
            <w:tcW w:w="4390" w:type="dxa"/>
          </w:tcPr>
          <w:p w:rsidR="00CA3ECD" w:rsidRDefault="00CA3ECD">
            <w:r>
              <w:t>Working account</w:t>
            </w:r>
          </w:p>
        </w:tc>
        <w:tc>
          <w:tcPr>
            <w:tcW w:w="2835" w:type="dxa"/>
          </w:tcPr>
          <w:p w:rsidR="00CA3ECD" w:rsidRDefault="00CA3ECD">
            <w:r>
              <w:t>12,075.06</w:t>
            </w:r>
          </w:p>
        </w:tc>
        <w:tc>
          <w:tcPr>
            <w:tcW w:w="3402" w:type="dxa"/>
          </w:tcPr>
          <w:p w:rsidR="00CA3ECD" w:rsidRDefault="00A34CBE">
            <w:r>
              <w:t>0.00 (do not get interest)</w:t>
            </w:r>
          </w:p>
        </w:tc>
      </w:tr>
      <w:tr w:rsidR="00CA3ECD" w:rsidTr="003940AA">
        <w:tc>
          <w:tcPr>
            <w:tcW w:w="4390" w:type="dxa"/>
          </w:tcPr>
          <w:p w:rsidR="00CA3ECD" w:rsidRPr="00FE6AEC" w:rsidRDefault="00CA3ECD">
            <w:pPr>
              <w:rPr>
                <w:b/>
              </w:rPr>
            </w:pPr>
            <w:r w:rsidRPr="00FE6AEC">
              <w:rPr>
                <w:b/>
              </w:rPr>
              <w:t>Total</w:t>
            </w:r>
          </w:p>
        </w:tc>
        <w:tc>
          <w:tcPr>
            <w:tcW w:w="2835" w:type="dxa"/>
          </w:tcPr>
          <w:p w:rsidR="00CA3ECD" w:rsidRPr="00113F06" w:rsidRDefault="00CA3ECD">
            <w:pPr>
              <w:rPr>
                <w:b/>
              </w:rPr>
            </w:pPr>
            <w:r>
              <w:rPr>
                <w:b/>
              </w:rPr>
              <w:t>46,081.98</w:t>
            </w:r>
          </w:p>
        </w:tc>
        <w:tc>
          <w:tcPr>
            <w:tcW w:w="3402" w:type="dxa"/>
          </w:tcPr>
          <w:p w:rsidR="00CA3ECD" w:rsidRDefault="00CA3ECD">
            <w:pPr>
              <w:rPr>
                <w:b/>
              </w:rPr>
            </w:pPr>
            <w:r>
              <w:rPr>
                <w:b/>
              </w:rPr>
              <w:t>1,044.12</w:t>
            </w:r>
          </w:p>
        </w:tc>
      </w:tr>
    </w:tbl>
    <w:p w:rsidR="00FE6AEC" w:rsidRDefault="00FE6AEC"/>
    <w:p w:rsidR="00113F06" w:rsidRDefault="00113F06"/>
    <w:sectPr w:rsidR="00113F06" w:rsidSect="00A34CB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7B3"/>
    <w:rsid w:val="00113F06"/>
    <w:rsid w:val="00353889"/>
    <w:rsid w:val="003721B5"/>
    <w:rsid w:val="003727B3"/>
    <w:rsid w:val="003940AA"/>
    <w:rsid w:val="003A57DA"/>
    <w:rsid w:val="003D1BD0"/>
    <w:rsid w:val="00534E78"/>
    <w:rsid w:val="00856CBF"/>
    <w:rsid w:val="00891796"/>
    <w:rsid w:val="00907911"/>
    <w:rsid w:val="009C76E9"/>
    <w:rsid w:val="00A34CBE"/>
    <w:rsid w:val="00B26B58"/>
    <w:rsid w:val="00CA3ECD"/>
    <w:rsid w:val="00F16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3D1BD0"/>
    <w:pPr>
      <w:spacing w:line="480" w:lineRule="auto"/>
      <w:ind w:firstLine="720"/>
      <w:contextualSpacing/>
    </w:pPr>
    <w:rPr>
      <w:sz w:val="24"/>
    </w:rPr>
  </w:style>
  <w:style w:type="character" w:customStyle="1" w:styleId="Style1Char">
    <w:name w:val="Style1 Char"/>
    <w:basedOn w:val="DefaultParagraphFont"/>
    <w:link w:val="Style1"/>
    <w:rsid w:val="003D1BD0"/>
    <w:rPr>
      <w:sz w:val="24"/>
    </w:rPr>
  </w:style>
  <w:style w:type="paragraph" w:customStyle="1" w:styleId="Style2">
    <w:name w:val="Style2"/>
    <w:basedOn w:val="NoSpacing"/>
    <w:link w:val="Style2Char"/>
    <w:qFormat/>
    <w:rsid w:val="003A57DA"/>
    <w:rPr>
      <w:sz w:val="24"/>
    </w:rPr>
  </w:style>
  <w:style w:type="character" w:customStyle="1" w:styleId="Style2Char">
    <w:name w:val="Style2 Char"/>
    <w:basedOn w:val="DefaultParagraphFont"/>
    <w:link w:val="Style2"/>
    <w:rsid w:val="003A57DA"/>
    <w:rPr>
      <w:sz w:val="24"/>
    </w:rPr>
  </w:style>
  <w:style w:type="paragraph" w:styleId="NoSpacing">
    <w:name w:val="No Spacing"/>
    <w:uiPriority w:val="1"/>
    <w:qFormat/>
    <w:rsid w:val="003A57DA"/>
    <w:pPr>
      <w:spacing w:after="0" w:line="240" w:lineRule="auto"/>
    </w:pPr>
  </w:style>
  <w:style w:type="table" w:styleId="TableGrid">
    <w:name w:val="Table Grid"/>
    <w:basedOn w:val="TableNormal"/>
    <w:uiPriority w:val="39"/>
    <w:rsid w:val="00FE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3D1BD0"/>
    <w:pPr>
      <w:spacing w:line="480" w:lineRule="auto"/>
      <w:ind w:firstLine="720"/>
      <w:contextualSpacing/>
    </w:pPr>
    <w:rPr>
      <w:sz w:val="24"/>
    </w:rPr>
  </w:style>
  <w:style w:type="character" w:customStyle="1" w:styleId="Style1Char">
    <w:name w:val="Style1 Char"/>
    <w:basedOn w:val="DefaultParagraphFont"/>
    <w:link w:val="Style1"/>
    <w:rsid w:val="003D1BD0"/>
    <w:rPr>
      <w:sz w:val="24"/>
    </w:rPr>
  </w:style>
  <w:style w:type="paragraph" w:customStyle="1" w:styleId="Style2">
    <w:name w:val="Style2"/>
    <w:basedOn w:val="NoSpacing"/>
    <w:link w:val="Style2Char"/>
    <w:qFormat/>
    <w:rsid w:val="003A57DA"/>
    <w:rPr>
      <w:sz w:val="24"/>
    </w:rPr>
  </w:style>
  <w:style w:type="character" w:customStyle="1" w:styleId="Style2Char">
    <w:name w:val="Style2 Char"/>
    <w:basedOn w:val="DefaultParagraphFont"/>
    <w:link w:val="Style2"/>
    <w:rsid w:val="003A57DA"/>
    <w:rPr>
      <w:sz w:val="24"/>
    </w:rPr>
  </w:style>
  <w:style w:type="paragraph" w:styleId="NoSpacing">
    <w:name w:val="No Spacing"/>
    <w:uiPriority w:val="1"/>
    <w:qFormat/>
    <w:rsid w:val="003A57DA"/>
    <w:pPr>
      <w:spacing w:after="0" w:line="240" w:lineRule="auto"/>
    </w:pPr>
  </w:style>
  <w:style w:type="table" w:styleId="TableGrid">
    <w:name w:val="Table Grid"/>
    <w:basedOn w:val="TableNormal"/>
    <w:uiPriority w:val="39"/>
    <w:rsid w:val="00FE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</dc:creator>
  <cp:lastModifiedBy>Angela Bray</cp:lastModifiedBy>
  <cp:revision>2</cp:revision>
  <dcterms:created xsi:type="dcterms:W3CDTF">2017-09-04T03:16:00Z</dcterms:created>
  <dcterms:modified xsi:type="dcterms:W3CDTF">2017-09-04T03:16:00Z</dcterms:modified>
</cp:coreProperties>
</file>